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09" w:rsidRPr="00DD0D2B" w:rsidRDefault="006C7C09" w:rsidP="006C7C09">
      <w:pPr>
        <w:shd w:val="clear" w:color="auto" w:fill="FCFCFC"/>
        <w:spacing w:before="187" w:after="187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val="en" w:eastAsia="ru-RU"/>
        </w:rPr>
      </w:pPr>
      <w:proofErr w:type="gramStart"/>
      <w:r w:rsidRPr="00DD0D2B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val="en" w:eastAsia="ru-RU"/>
        </w:rPr>
        <w:t>Affine connections on three-dimensional pseudo-Riemannian homogeneous spaces.</w:t>
      </w:r>
      <w:proofErr w:type="gramEnd"/>
      <w:r w:rsidRPr="00DD0D2B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val="en" w:eastAsia="ru-RU"/>
        </w:rPr>
        <w:t xml:space="preserve"> I</w:t>
      </w:r>
    </w:p>
    <w:p w:rsidR="006C7C09" w:rsidRPr="00DD0D2B" w:rsidRDefault="006C7C09" w:rsidP="00DD0D2B">
      <w:pPr>
        <w:numPr>
          <w:ilvl w:val="0"/>
          <w:numId w:val="1"/>
        </w:numPr>
        <w:shd w:val="clear" w:color="auto" w:fill="FCFCFC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333333"/>
          <w:spacing w:val="4"/>
          <w:sz w:val="40"/>
          <w:szCs w:val="40"/>
          <w:lang w:eastAsia="ru-RU"/>
        </w:rPr>
      </w:pPr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40"/>
          <w:szCs w:val="40"/>
          <w:lang w:eastAsia="ru-RU"/>
        </w:rPr>
        <w:t>N. P. </w:t>
      </w:r>
      <w:proofErr w:type="spellStart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40"/>
          <w:szCs w:val="40"/>
          <w:lang w:eastAsia="ru-RU"/>
        </w:rPr>
        <w:t>Mozhei</w:t>
      </w:r>
      <w:proofErr w:type="spellEnd"/>
    </w:p>
    <w:p w:rsidR="006C7C09" w:rsidRPr="00DD0D2B" w:rsidRDefault="00DD0D2B" w:rsidP="006C7C09">
      <w:pPr>
        <w:shd w:val="clear" w:color="auto" w:fill="FCFCFC"/>
        <w:spacing w:after="150" w:line="240" w:lineRule="auto"/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</w:pPr>
      <w:hyperlink r:id="rId6" w:history="1">
        <w:proofErr w:type="spellStart"/>
        <w:r w:rsidR="006C7C09" w:rsidRPr="00DD0D2B">
          <w:rPr>
            <w:rFonts w:ascii="Times New Roman" w:eastAsia="Times New Roman" w:hAnsi="Times New Roman" w:cs="Times New Roman"/>
            <w:color w:val="8E2555"/>
            <w:spacing w:val="4"/>
            <w:sz w:val="28"/>
            <w:szCs w:val="28"/>
            <w:u w:val="single"/>
            <w:lang w:eastAsia="ru-RU"/>
          </w:rPr>
          <w:t>Email</w:t>
        </w:r>
        <w:proofErr w:type="spellEnd"/>
        <w:r w:rsidR="006C7C09" w:rsidRPr="00DD0D2B">
          <w:rPr>
            <w:rFonts w:ascii="Times New Roman" w:eastAsia="Times New Roman" w:hAnsi="Times New Roman" w:cs="Times New Roman"/>
            <w:color w:val="8E2555"/>
            <w:spacing w:val="4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C7C09" w:rsidRPr="00DD0D2B">
          <w:rPr>
            <w:rFonts w:ascii="Times New Roman" w:eastAsia="Times New Roman" w:hAnsi="Times New Roman" w:cs="Times New Roman"/>
            <w:color w:val="8E2555"/>
            <w:spacing w:val="4"/>
            <w:sz w:val="28"/>
            <w:szCs w:val="28"/>
            <w:u w:val="single"/>
            <w:lang w:eastAsia="ru-RU"/>
          </w:rPr>
          <w:t>author</w:t>
        </w:r>
        <w:proofErr w:type="spellEnd"/>
      </w:hyperlink>
    </w:p>
    <w:p w:rsidR="006C7C09" w:rsidRPr="00DD0D2B" w:rsidRDefault="006C7C09" w:rsidP="006C7C09">
      <w:pPr>
        <w:numPr>
          <w:ilvl w:val="1"/>
          <w:numId w:val="1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</w:pPr>
      <w:proofErr w:type="spellStart"/>
      <w:r w:rsidRPr="00DD0D2B">
        <w:rPr>
          <w:rFonts w:ascii="Times New Roman" w:eastAsia="Times New Roman" w:hAnsi="Times New Roman" w:cs="Times New Roman"/>
          <w:i/>
          <w:iCs/>
          <w:color w:val="333333"/>
          <w:spacing w:val="4"/>
          <w:sz w:val="28"/>
          <w:szCs w:val="28"/>
          <w:lang w:eastAsia="ru-RU"/>
        </w:rPr>
        <w:t>Kazan</w:t>
      </w:r>
      <w:proofErr w:type="spellEnd"/>
      <w:r w:rsidRPr="00DD0D2B">
        <w:rPr>
          <w:rFonts w:ascii="Times New Roman" w:eastAsia="Times New Roman" w:hAnsi="Times New Roman" w:cs="Times New Roman"/>
          <w:i/>
          <w:iCs/>
          <w:color w:val="333333"/>
          <w:spacing w:val="4"/>
          <w:sz w:val="28"/>
          <w:szCs w:val="28"/>
          <w:lang w:eastAsia="ru-RU"/>
        </w:rPr>
        <w:t xml:space="preserve"> (</w:t>
      </w:r>
      <w:proofErr w:type="spellStart"/>
      <w:r w:rsidRPr="00DD0D2B">
        <w:rPr>
          <w:rFonts w:ascii="Times New Roman" w:eastAsia="Times New Roman" w:hAnsi="Times New Roman" w:cs="Times New Roman"/>
          <w:i/>
          <w:iCs/>
          <w:color w:val="333333"/>
          <w:spacing w:val="4"/>
          <w:sz w:val="28"/>
          <w:szCs w:val="28"/>
          <w:lang w:eastAsia="ru-RU"/>
        </w:rPr>
        <w:t>Volga</w:t>
      </w:r>
      <w:proofErr w:type="spellEnd"/>
      <w:r w:rsidRPr="00DD0D2B">
        <w:rPr>
          <w:rFonts w:ascii="Times New Roman" w:eastAsia="Times New Roman" w:hAnsi="Times New Roman" w:cs="Times New Roman"/>
          <w:i/>
          <w:iCs/>
          <w:color w:val="333333"/>
          <w:spacing w:val="4"/>
          <w:sz w:val="28"/>
          <w:szCs w:val="28"/>
          <w:lang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i/>
          <w:iCs/>
          <w:color w:val="333333"/>
          <w:spacing w:val="4"/>
          <w:sz w:val="28"/>
          <w:szCs w:val="28"/>
          <w:lang w:eastAsia="ru-RU"/>
        </w:rPr>
        <w:t>Region</w:t>
      </w:r>
      <w:proofErr w:type="spellEnd"/>
      <w:r w:rsidRPr="00DD0D2B">
        <w:rPr>
          <w:rFonts w:ascii="Times New Roman" w:eastAsia="Times New Roman" w:hAnsi="Times New Roman" w:cs="Times New Roman"/>
          <w:i/>
          <w:iCs/>
          <w:color w:val="333333"/>
          <w:spacing w:val="4"/>
          <w:sz w:val="28"/>
          <w:szCs w:val="28"/>
          <w:lang w:eastAsia="ru-RU"/>
        </w:rPr>
        <w:t xml:space="preserve">) </w:t>
      </w:r>
      <w:proofErr w:type="spellStart"/>
      <w:r w:rsidRPr="00DD0D2B">
        <w:rPr>
          <w:rFonts w:ascii="Times New Roman" w:eastAsia="Times New Roman" w:hAnsi="Times New Roman" w:cs="Times New Roman"/>
          <w:i/>
          <w:iCs/>
          <w:color w:val="333333"/>
          <w:spacing w:val="4"/>
          <w:sz w:val="28"/>
          <w:szCs w:val="28"/>
          <w:lang w:eastAsia="ru-RU"/>
        </w:rPr>
        <w:t>Federal</w:t>
      </w:r>
      <w:proofErr w:type="spellEnd"/>
      <w:r w:rsidRPr="00DD0D2B">
        <w:rPr>
          <w:rFonts w:ascii="Times New Roman" w:eastAsia="Times New Roman" w:hAnsi="Times New Roman" w:cs="Times New Roman"/>
          <w:i/>
          <w:iCs/>
          <w:color w:val="333333"/>
          <w:spacing w:val="4"/>
          <w:sz w:val="28"/>
          <w:szCs w:val="28"/>
          <w:lang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i/>
          <w:iCs/>
          <w:color w:val="333333"/>
          <w:spacing w:val="4"/>
          <w:sz w:val="28"/>
          <w:szCs w:val="28"/>
          <w:lang w:eastAsia="ru-RU"/>
        </w:rPr>
        <w:t>University</w:t>
      </w:r>
      <w:proofErr w:type="spellEnd"/>
    </w:p>
    <w:p w:rsidR="006C7C09" w:rsidRPr="00DD0D2B" w:rsidRDefault="006C7C09" w:rsidP="006C7C0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</w:pP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Article</w:t>
      </w:r>
      <w:proofErr w:type="spellEnd"/>
    </w:p>
    <w:p w:rsidR="006C7C09" w:rsidRPr="00DD0D2B" w:rsidRDefault="006C7C09" w:rsidP="006C7C0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</w:pPr>
      <w:proofErr w:type="spellStart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>First</w:t>
      </w:r>
      <w:proofErr w:type="spellEnd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>Online</w:t>
      </w:r>
      <w:proofErr w:type="spellEnd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>: </w:t>
      </w:r>
    </w:p>
    <w:p w:rsidR="006C7C09" w:rsidRPr="00DD0D2B" w:rsidRDefault="006C7C09" w:rsidP="006C7C09">
      <w:pPr>
        <w:shd w:val="clear" w:color="auto" w:fill="FCFCFC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28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November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 2013</w:t>
      </w:r>
    </w:p>
    <w:p w:rsidR="006C7C09" w:rsidRPr="00DD0D2B" w:rsidRDefault="006C7C09" w:rsidP="006C7C0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</w:pPr>
      <w:proofErr w:type="spellStart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>Received</w:t>
      </w:r>
      <w:proofErr w:type="spellEnd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>: </w:t>
      </w:r>
    </w:p>
    <w:p w:rsidR="006C7C09" w:rsidRPr="00DD0D2B" w:rsidRDefault="006C7C09" w:rsidP="006C7C09">
      <w:pPr>
        <w:shd w:val="clear" w:color="auto" w:fill="FCFCFC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21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August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 xml:space="preserve"> 2012</w:t>
      </w:r>
    </w:p>
    <w:p w:rsidR="006C7C09" w:rsidRPr="00DD0D2B" w:rsidRDefault="006C7C09" w:rsidP="006C7C09">
      <w:pPr>
        <w:shd w:val="clear" w:color="auto" w:fill="FCFCFC"/>
        <w:spacing w:line="240" w:lineRule="auto"/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eastAsia="ru-RU"/>
        </w:rPr>
        <w:t>DOI: 10.3103/S1066369X13120050</w:t>
      </w:r>
    </w:p>
    <w:p w:rsidR="006C7C09" w:rsidRPr="00DD0D2B" w:rsidRDefault="006C7C09" w:rsidP="006C7C0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</w:pPr>
      <w:proofErr w:type="spellStart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>Cite</w:t>
      </w:r>
      <w:proofErr w:type="spellEnd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>this</w:t>
      </w:r>
      <w:proofErr w:type="spellEnd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>article</w:t>
      </w:r>
      <w:proofErr w:type="spellEnd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>as</w:t>
      </w:r>
      <w:proofErr w:type="spellEnd"/>
      <w:r w:rsidRPr="00DD0D2B">
        <w:rPr>
          <w:rFonts w:ascii="Times New Roman" w:eastAsia="Times New Roman" w:hAnsi="Times New Roman" w:cs="Times New Roman"/>
          <w:b/>
          <w:bCs/>
          <w:color w:val="333333"/>
          <w:spacing w:val="4"/>
          <w:sz w:val="28"/>
          <w:szCs w:val="28"/>
          <w:lang w:eastAsia="ru-RU"/>
        </w:rPr>
        <w:t>:</w:t>
      </w:r>
    </w:p>
    <w:p w:rsidR="006C7C09" w:rsidRPr="00DD0D2B" w:rsidRDefault="006C7C09" w:rsidP="006C7C09">
      <w:pPr>
        <w:shd w:val="clear" w:color="auto" w:fill="FCFCFC"/>
        <w:spacing w:line="240" w:lineRule="auto"/>
        <w:ind w:left="720"/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</w:pP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>Mozhei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 xml:space="preserve">, N.P. Russ Math. (2013) 57: 44. </w:t>
      </w:r>
      <w:proofErr w:type="gramStart"/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>doi:</w:t>
      </w:r>
      <w:proofErr w:type="gramEnd"/>
      <w:r w:rsidRPr="00DD0D2B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  <w:lang w:val="en-US" w:eastAsia="ru-RU"/>
        </w:rPr>
        <w:t>10.3103/S1066369X13120050</w:t>
      </w:r>
    </w:p>
    <w:p w:rsidR="006C7C09" w:rsidRPr="00DD0D2B" w:rsidRDefault="006C7C09" w:rsidP="006C7C09">
      <w:pPr>
        <w:pBdr>
          <w:top w:val="single" w:sz="12" w:space="9" w:color="auto"/>
        </w:pBdr>
        <w:shd w:val="clear" w:color="auto" w:fill="F0F0F0"/>
        <w:spacing w:after="0" w:line="240" w:lineRule="auto"/>
        <w:ind w:left="-263"/>
        <w:outlineLvl w:val="1"/>
        <w:rPr>
          <w:rFonts w:ascii="Times New Roman" w:eastAsia="Times New Roman" w:hAnsi="Times New Roman" w:cs="Times New Roman"/>
          <w:b/>
          <w:color w:val="333333"/>
          <w:spacing w:val="2"/>
          <w:sz w:val="28"/>
          <w:szCs w:val="28"/>
          <w:lang w:val="en-US" w:eastAsia="ru-RU"/>
        </w:rPr>
      </w:pPr>
      <w:r w:rsidRPr="00DD0D2B">
        <w:rPr>
          <w:rFonts w:ascii="Times New Roman" w:eastAsia="Times New Roman" w:hAnsi="Times New Roman" w:cs="Times New Roman"/>
          <w:b/>
          <w:color w:val="333333"/>
          <w:spacing w:val="2"/>
          <w:sz w:val="28"/>
          <w:szCs w:val="28"/>
          <w:lang w:val="en-US" w:eastAsia="ru-RU"/>
        </w:rPr>
        <w:t>Abstract</w:t>
      </w:r>
    </w:p>
    <w:p w:rsidR="006C7C09" w:rsidRPr="00DD0D2B" w:rsidRDefault="006C7C09" w:rsidP="00DD0D2B">
      <w:pPr>
        <w:spacing w:before="240" w:after="288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DD0D2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The aim of this paper is to describe all invariant affine connections on pseudo-Riemannian homogeneous spaces of dimensions 2 and 3. We present a complete local classification of Riemannian homogeneous </w:t>
      </w:r>
      <w:proofErr w:type="gramStart"/>
      <w:r w:rsidRPr="00DD0D2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spaces which is</w:t>
      </w:r>
      <w:proofErr w:type="gramEnd"/>
      <w:r w:rsidRPr="00DD0D2B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equivalent to the description of effective pairs of Lie algebras supplied with an invariant nondegenerate symmetric bilinear form on the isotropy module. The classification of pseudo-Riemannian homogeneous spaces is given in a separate paper (Part 2). We describe all invariant affine connections together with their curvature and torsion tensors and single out affine connections on Riemannian homogeneous spaces and Riemannian connections.</w:t>
      </w:r>
    </w:p>
    <w:p w:rsidR="006C7C09" w:rsidRPr="00DD0D2B" w:rsidRDefault="006C7C09" w:rsidP="00DD0D2B">
      <w:pPr>
        <w:shd w:val="clear" w:color="auto" w:fill="FCFCFC"/>
        <w:spacing w:before="100" w:beforeAutospacing="1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pacing w:val="2"/>
          <w:sz w:val="32"/>
          <w:szCs w:val="32"/>
          <w:lang w:val="en" w:eastAsia="ru-RU"/>
        </w:rPr>
      </w:pPr>
      <w:r w:rsidRPr="00DD0D2B">
        <w:rPr>
          <w:rFonts w:ascii="Times New Roman" w:eastAsia="Times New Roman" w:hAnsi="Times New Roman" w:cs="Times New Roman"/>
          <w:b/>
          <w:color w:val="333333"/>
          <w:spacing w:val="2"/>
          <w:sz w:val="32"/>
          <w:szCs w:val="32"/>
          <w:lang w:val="en" w:eastAsia="ru-RU"/>
        </w:rPr>
        <w:t>Keywords and phrases</w:t>
      </w:r>
    </w:p>
    <w:p w:rsidR="006C7C09" w:rsidRPr="00DD0D2B" w:rsidRDefault="006C7C09" w:rsidP="00DD0D2B">
      <w:pPr>
        <w:shd w:val="clear" w:color="auto" w:fill="FCFCFC"/>
        <w:spacing w:line="459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" w:eastAsia="ru-RU"/>
        </w:rPr>
      </w:pPr>
      <w:proofErr w:type="gramStart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shd w:val="clear" w:color="auto" w:fill="F2F2F2"/>
          <w:lang w:val="en" w:eastAsia="ru-RU"/>
        </w:rPr>
        <w:t>invariant</w:t>
      </w:r>
      <w:proofErr w:type="gramEnd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shd w:val="clear" w:color="auto" w:fill="F2F2F2"/>
          <w:lang w:val="en" w:eastAsia="ru-RU"/>
        </w:rPr>
        <w:t xml:space="preserve"> affine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shd w:val="clear" w:color="auto" w:fill="F2F2F2"/>
          <w:lang w:val="en" w:eastAsia="ru-RU"/>
        </w:rPr>
        <w:t>connectionpseudo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shd w:val="clear" w:color="auto" w:fill="F2F2F2"/>
          <w:lang w:val="en" w:eastAsia="ru-RU"/>
        </w:rPr>
        <w:t>-Riemannian homogeneous space</w:t>
      </w:r>
    </w:p>
    <w:p w:rsidR="006C7C09" w:rsidRPr="00DD0D2B" w:rsidRDefault="006C7C09" w:rsidP="00DD0D2B">
      <w:pPr>
        <w:shd w:val="clear" w:color="auto" w:fill="FCFCFC"/>
        <w:spacing w:before="100" w:beforeAutospacing="1" w:after="100" w:afterAutospacing="1" w:line="459" w:lineRule="atLeast"/>
        <w:jc w:val="both"/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eastAsia="ru-RU"/>
        </w:rPr>
      </w:pPr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 xml:space="preserve">Original Russian Text © N.P.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>Mozhei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 xml:space="preserve">, 2013, published in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>Izvestiya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>Vysshikh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>Uchebnykh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>Zavedenii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val="en-US"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eastAsia="ru-RU"/>
        </w:rPr>
        <w:t>Matematika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eastAsia="ru-RU"/>
        </w:rPr>
        <w:t xml:space="preserve">, 2013,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eastAsia="ru-RU"/>
        </w:rPr>
        <w:t>No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eastAsia="ru-RU"/>
        </w:rPr>
        <w:t xml:space="preserve">. 12, </w:t>
      </w: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eastAsia="ru-RU"/>
        </w:rPr>
        <w:t>pp</w:t>
      </w:r>
      <w:proofErr w:type="spellEnd"/>
      <w:r w:rsidRPr="00DD0D2B">
        <w:rPr>
          <w:rFonts w:ascii="Times New Roman" w:eastAsia="Times New Roman" w:hAnsi="Times New Roman" w:cs="Times New Roman"/>
          <w:color w:val="333333"/>
          <w:spacing w:val="2"/>
          <w:sz w:val="32"/>
          <w:szCs w:val="32"/>
          <w:lang w:eastAsia="ru-RU"/>
        </w:rPr>
        <w:t>. 51–68.</w:t>
      </w:r>
    </w:p>
    <w:p w:rsidR="00DD0D2B" w:rsidRDefault="00DD0D2B" w:rsidP="006C7C09">
      <w:pPr>
        <w:pBdr>
          <w:top w:val="single" w:sz="12" w:space="9" w:color="auto"/>
        </w:pBdr>
        <w:shd w:val="clear" w:color="auto" w:fill="F0F0F0"/>
        <w:spacing w:after="0" w:line="240" w:lineRule="auto"/>
        <w:ind w:left="-263"/>
        <w:outlineLvl w:val="2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DD0D2B" w:rsidRDefault="00DD0D2B" w:rsidP="006C7C09">
      <w:pPr>
        <w:pBdr>
          <w:top w:val="single" w:sz="12" w:space="9" w:color="auto"/>
        </w:pBdr>
        <w:shd w:val="clear" w:color="auto" w:fill="F0F0F0"/>
        <w:spacing w:after="0" w:line="240" w:lineRule="auto"/>
        <w:ind w:left="-263"/>
        <w:outlineLvl w:val="2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6C7C09" w:rsidRPr="00DD0D2B" w:rsidRDefault="006C7C09" w:rsidP="006C7C09">
      <w:pPr>
        <w:pBdr>
          <w:top w:val="single" w:sz="12" w:space="9" w:color="auto"/>
        </w:pBdr>
        <w:shd w:val="clear" w:color="auto" w:fill="F0F0F0"/>
        <w:spacing w:after="0" w:line="240" w:lineRule="auto"/>
        <w:ind w:left="-263"/>
        <w:outlineLvl w:val="2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proofErr w:type="spellStart"/>
      <w:r w:rsidRPr="00DD0D2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lastRenderedPageBreak/>
        <w:t>References</w:t>
      </w:r>
      <w:proofErr w:type="spellEnd"/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1.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T. Levi-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Civita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“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Nozione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Parallelismo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una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Varietà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Qualunque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,” Rend.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Circ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Mat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Palermo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0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, 173–205 (1917).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"http://dx.doi.org/10.1007/BF03014898" \t "_blank" </w:instrTex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D0D2B">
        <w:rPr>
          <w:rFonts w:ascii="Times New Roman" w:eastAsia="Times New Roman" w:hAnsi="Times New Roman" w:cs="Times New Roman"/>
          <w:color w:val="8E2555"/>
          <w:sz w:val="28"/>
          <w:szCs w:val="28"/>
          <w:u w:val="single"/>
          <w:lang w:eastAsia="ru-RU"/>
        </w:rPr>
        <w:t>CrossRef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C7C09" w:rsidRPr="00DD0D2B" w:rsidRDefault="006C7C09" w:rsidP="00DD0D2B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2.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H. Weyl, </w:t>
      </w:r>
      <w:proofErr w:type="spellStart"/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Raum</w:t>
      </w:r>
      <w:proofErr w:type="spellEnd"/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Zeit</w:t>
      </w:r>
      <w:proofErr w:type="spellEnd"/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Materie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(6e </w:t>
      </w:r>
      <w:proofErr w:type="spellStart"/>
      <w:proofErr w:type="gram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Aufl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.,</w:t>
      </w:r>
      <w:proofErr w:type="gram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1923; Springer, 1970).</w:t>
      </w:r>
      <w:hyperlink r:id="rId7" w:tgtFrame="_blank" w:history="1">
        <w:proofErr w:type="spellStart"/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CrossRef</w:t>
        </w:r>
        <w:proofErr w:type="spellEnd"/>
      </w:hyperlink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3.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É.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Cartan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“Les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Espacesà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Connexion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Conforme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,” Ann. Soc.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Polon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Math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D0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, 171–211 (1923).</w:t>
      </w:r>
    </w:p>
    <w:p w:rsidR="006C7C09" w:rsidRPr="00DD0D2B" w:rsidRDefault="006C7C09" w:rsidP="00DD0D2B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4.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Yu.</w:t>
      </w:r>
      <w:proofErr w:type="gram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Lumiste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“The Theory of Connections in Fiber Bundles,”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Itogi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Nauki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Algebra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Topologiya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Geometriya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(VINITI,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Moscow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, 1971), p. 123–168.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5.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G. I.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Kruchkovich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“Classification of Three-Dimensional Riemannian Spaces by Groups of Motions,”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Usp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Mat.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Nauk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0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(1), 3–40 (1954).</w:t>
      </w:r>
      <w:hyperlink r:id="rId8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MATH</w:t>
        </w:r>
      </w:hyperlink>
    </w:p>
    <w:p w:rsidR="006C7C09" w:rsidRPr="00DD0D2B" w:rsidRDefault="006C7C09" w:rsidP="00DD0D2B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6.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W. Thurston, “Three-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DimensionalManifolds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KleinianGroups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Hyperbolic Geometry,” Bull.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Amer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Math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Soc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D0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, 357–381 (1982).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"http://www.ams.org/mathscinet-getitem?mr=648524" \t "_blank" </w:instrTex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D0D2B">
        <w:rPr>
          <w:rFonts w:ascii="Times New Roman" w:eastAsia="Times New Roman" w:hAnsi="Times New Roman" w:cs="Times New Roman"/>
          <w:color w:val="8E2555"/>
          <w:sz w:val="28"/>
          <w:szCs w:val="28"/>
          <w:u w:val="single"/>
          <w:lang w:eastAsia="ru-RU"/>
        </w:rPr>
        <w:t>MathSciNet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9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CrossRef</w:t>
        </w:r>
      </w:hyperlink>
      <w:hyperlink r:id="rId10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MATH</w:t>
        </w:r>
        <w:proofErr w:type="spellEnd"/>
      </w:hyperlink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7.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P. Scott, “The Geometries of 3-Manifolds,” Bull.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LondonMath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Soc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D0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part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(56), 401–487 (1983).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"http://dx.doi.org/10.1112/blms/15.5.401" \t "_blank" </w:instrTex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D0D2B">
        <w:rPr>
          <w:rFonts w:ascii="Times New Roman" w:eastAsia="Times New Roman" w:hAnsi="Times New Roman" w:cs="Times New Roman"/>
          <w:color w:val="8E2555"/>
          <w:sz w:val="28"/>
          <w:szCs w:val="28"/>
          <w:u w:val="single"/>
          <w:lang w:eastAsia="ru-RU"/>
        </w:rPr>
        <w:t>CrossRef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11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MATH</w:t>
        </w:r>
        <w:proofErr w:type="spellEnd"/>
      </w:hyperlink>
    </w:p>
    <w:p w:rsidR="006C7C09" w:rsidRPr="00DD0D2B" w:rsidRDefault="006C7C09" w:rsidP="00DD0D2B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8.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P. A.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Shirokov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Selected Papers in Geometry</w:t>
      </w: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(Kazan Univ.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Press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Kazan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, 1966).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9.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A. Z.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Petrov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“On Geodesic Mappings of Riemannian Spaces with Indefinite Metric,”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Uchen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Zap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Kazan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Univ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D0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109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(3), 7–36 (1949).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10.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A. L.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Onishchik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Topology of Transitive Lie Groups of Transformations</w:t>
      </w: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(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Fizmatlit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Moscow, 1995).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11.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S. Kobayashi and K.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Nomizu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Foundations of Differential Geometry</w:t>
      </w: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(New York-London, 1963), Vol. 1.</w:t>
      </w:r>
      <w:hyperlink r:id="rId12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MATH</w:t>
        </w:r>
      </w:hyperlink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12.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S. Kobayashi and K.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Nomizu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Foundations of Differential Geometry</w:t>
      </w: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(New York-London, 1969), Vol. 2.</w:t>
      </w:r>
      <w:hyperlink r:id="rId13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MATH</w:t>
        </w:r>
      </w:hyperlink>
    </w:p>
    <w:p w:rsidR="006C7C09" w:rsidRPr="00DD0D2B" w:rsidRDefault="006C7C09" w:rsidP="00DD0D2B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13.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G. D.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Mostow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“The Extensibility of Local Lie Groups of Transformations and Groups on Surfaces,” Ann.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Math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D0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(3), 606–636 (1950).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"http://www.ams.org/mathscinet-getitem?mr=48464" \t "_blank" </w:instrTex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D0D2B">
        <w:rPr>
          <w:rFonts w:ascii="Times New Roman" w:eastAsia="Times New Roman" w:hAnsi="Times New Roman" w:cs="Times New Roman"/>
          <w:color w:val="8E2555"/>
          <w:sz w:val="28"/>
          <w:szCs w:val="28"/>
          <w:u w:val="single"/>
          <w:lang w:eastAsia="ru-RU"/>
        </w:rPr>
        <w:t>MathSciNet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14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CrossRef</w:t>
        </w:r>
      </w:hyperlink>
      <w:hyperlink r:id="rId15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MATH</w:t>
        </w:r>
        <w:proofErr w:type="spellEnd"/>
      </w:hyperlink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14.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 Lie</w:t>
      </w:r>
      <w:proofErr w:type="gram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proofErr w:type="spellStart"/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Theorie</w:t>
      </w:r>
      <w:proofErr w:type="spellEnd"/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der </w:t>
      </w:r>
      <w:proofErr w:type="spellStart"/>
      <w:r w:rsidRPr="00DD0D2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Transformationsgruppen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Abschn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 (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Teubner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Leipzig, 1893).</w:t>
      </w:r>
      <w:proofErr w:type="gramEnd"/>
      <w:r w:rsidR="00DD0D2B" w:rsidRPr="00DD0D2B">
        <w:rPr>
          <w:rFonts w:ascii="Times New Roman" w:hAnsi="Times New Roman" w:cs="Times New Roman"/>
          <w:sz w:val="28"/>
          <w:szCs w:val="28"/>
        </w:rPr>
        <w:fldChar w:fldCharType="begin"/>
      </w:r>
      <w:r w:rsidR="00DD0D2B" w:rsidRPr="00DD0D2B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"http://www.emis.de/MATH-item?JFM%2025.0623.01" \t "_blank" </w:instrText>
      </w:r>
      <w:r w:rsidR="00DD0D2B" w:rsidRPr="00DD0D2B">
        <w:rPr>
          <w:rFonts w:ascii="Times New Roman" w:hAnsi="Times New Roman" w:cs="Times New Roman"/>
          <w:sz w:val="28"/>
          <w:szCs w:val="28"/>
        </w:rPr>
        <w:fldChar w:fldCharType="separate"/>
      </w:r>
      <w:r w:rsidRPr="00DD0D2B">
        <w:rPr>
          <w:rFonts w:ascii="Times New Roman" w:eastAsia="Times New Roman" w:hAnsi="Times New Roman" w:cs="Times New Roman"/>
          <w:color w:val="8E2555"/>
          <w:sz w:val="28"/>
          <w:szCs w:val="28"/>
          <w:u w:val="single"/>
          <w:lang w:val="en-US" w:eastAsia="ru-RU"/>
        </w:rPr>
        <w:t>MATH</w:t>
      </w:r>
      <w:r w:rsidR="00DD0D2B" w:rsidRPr="00DD0D2B">
        <w:rPr>
          <w:rFonts w:ascii="Times New Roman" w:eastAsia="Times New Roman" w:hAnsi="Times New Roman" w:cs="Times New Roman"/>
          <w:color w:val="8E2555"/>
          <w:sz w:val="28"/>
          <w:szCs w:val="28"/>
          <w:u w:val="single"/>
          <w:lang w:eastAsia="ru-RU"/>
        </w:rPr>
        <w:fldChar w:fldCharType="end"/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val="en-US"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val="en-US" w:eastAsia="ru-RU"/>
        </w:rPr>
        <w:t>15.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B.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Komrakov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Churyumov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and B.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Doubrov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“Two-Dimensional Homogeneous Spaces,” Preprint No. 17 (Univ.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Oslo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, 1993).</w:t>
      </w:r>
    </w:p>
    <w:p w:rsidR="006C7C09" w:rsidRPr="00DD0D2B" w:rsidRDefault="006C7C09" w:rsidP="00DD0D2B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16.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Nomizu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“Invariant Affine Connections on Homogeneous Spaces,” Amer. J. Math. </w:t>
      </w:r>
      <w:proofErr w:type="gramStart"/>
      <w:r w:rsidRPr="00DD0D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76</w:t>
      </w: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(1), 33–65 (1954).</w:t>
      </w:r>
      <w:proofErr w:type="gramEnd"/>
      <w:hyperlink r:id="rId16" w:tgtFrame="_blank" w:history="1">
        <w:proofErr w:type="spellStart"/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MathSciNet</w:t>
        </w:r>
      </w:hyperlink>
      <w:hyperlink r:id="rId17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CrossRef</w:t>
        </w:r>
      </w:hyperlink>
      <w:hyperlink r:id="rId18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MATH</w:t>
        </w:r>
        <w:proofErr w:type="spellEnd"/>
      </w:hyperlink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17.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O. Kowalski, “Riemannian Manifolds with Homogeneous Geodesics,” Boll.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Unione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Math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Ital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VII.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Ser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. B </w:t>
      </w:r>
      <w:r w:rsidRPr="00DD0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(1), 189–246 (1991).</w:t>
      </w:r>
      <w:hyperlink r:id="rId19" w:tgtFrame="_blank" w:history="1">
        <w:r w:rsidRPr="00DD0D2B">
          <w:rPr>
            <w:rFonts w:ascii="Times New Roman" w:eastAsia="Times New Roman" w:hAnsi="Times New Roman" w:cs="Times New Roman"/>
            <w:color w:val="8E2555"/>
            <w:sz w:val="28"/>
            <w:szCs w:val="28"/>
            <w:u w:val="single"/>
            <w:lang w:eastAsia="ru-RU"/>
          </w:rPr>
          <w:t>MATH</w:t>
        </w:r>
      </w:hyperlink>
    </w:p>
    <w:p w:rsidR="006C7C09" w:rsidRPr="00DD0D2B" w:rsidRDefault="006C7C09" w:rsidP="00DD0D2B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>18.</w:t>
      </w:r>
    </w:p>
    <w:p w:rsidR="006C7C09" w:rsidRPr="00DD0D2B" w:rsidRDefault="006C7C09" w:rsidP="00DD0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Komrakov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Tchourioumov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Mozhey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 al. “Three-Dimensional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Isotropically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-Faithful Homogeneous Spaces,” Preprints Nos. 35–37 (Univ. </w:t>
      </w:r>
      <w:proofErr w:type="spellStart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Oslo</w:t>
      </w:r>
      <w:proofErr w:type="spellEnd"/>
      <w:r w:rsidRPr="00DD0D2B">
        <w:rPr>
          <w:rFonts w:ascii="Times New Roman" w:eastAsia="Times New Roman" w:hAnsi="Times New Roman" w:cs="Times New Roman"/>
          <w:sz w:val="28"/>
          <w:szCs w:val="28"/>
          <w:lang w:eastAsia="ru-RU"/>
        </w:rPr>
        <w:t>, 1993).</w:t>
      </w:r>
    </w:p>
    <w:p w:rsidR="0007020A" w:rsidRPr="00DD0D2B" w:rsidRDefault="000702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020A" w:rsidRPr="00DD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481"/>
    <w:multiLevelType w:val="multilevel"/>
    <w:tmpl w:val="98E2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7A36CB"/>
    <w:multiLevelType w:val="multilevel"/>
    <w:tmpl w:val="78FE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09"/>
    <w:rsid w:val="00000128"/>
    <w:rsid w:val="0001256A"/>
    <w:rsid w:val="00040551"/>
    <w:rsid w:val="000412E7"/>
    <w:rsid w:val="0007020A"/>
    <w:rsid w:val="0007245E"/>
    <w:rsid w:val="00073B89"/>
    <w:rsid w:val="000A3F34"/>
    <w:rsid w:val="000E4A0E"/>
    <w:rsid w:val="00100DDE"/>
    <w:rsid w:val="001A5FE1"/>
    <w:rsid w:val="001D2EF1"/>
    <w:rsid w:val="001D797B"/>
    <w:rsid w:val="002113D9"/>
    <w:rsid w:val="00224FD8"/>
    <w:rsid w:val="002263F5"/>
    <w:rsid w:val="00274A65"/>
    <w:rsid w:val="002B2A12"/>
    <w:rsid w:val="002D7EDB"/>
    <w:rsid w:val="00335E81"/>
    <w:rsid w:val="00344C64"/>
    <w:rsid w:val="003979D8"/>
    <w:rsid w:val="003A123D"/>
    <w:rsid w:val="003A5DE1"/>
    <w:rsid w:val="003B3D78"/>
    <w:rsid w:val="003B5A92"/>
    <w:rsid w:val="00461FD3"/>
    <w:rsid w:val="00475A4C"/>
    <w:rsid w:val="00476173"/>
    <w:rsid w:val="00481D7D"/>
    <w:rsid w:val="004C474B"/>
    <w:rsid w:val="004E0867"/>
    <w:rsid w:val="004F0258"/>
    <w:rsid w:val="00507AA3"/>
    <w:rsid w:val="00530135"/>
    <w:rsid w:val="00532B15"/>
    <w:rsid w:val="005428AE"/>
    <w:rsid w:val="00547250"/>
    <w:rsid w:val="00565D35"/>
    <w:rsid w:val="006200B6"/>
    <w:rsid w:val="006211BB"/>
    <w:rsid w:val="00637D73"/>
    <w:rsid w:val="00644AC0"/>
    <w:rsid w:val="00660D2D"/>
    <w:rsid w:val="006816E6"/>
    <w:rsid w:val="006830AC"/>
    <w:rsid w:val="006C7C09"/>
    <w:rsid w:val="006E7B7D"/>
    <w:rsid w:val="006F55BF"/>
    <w:rsid w:val="007913EC"/>
    <w:rsid w:val="00871CCE"/>
    <w:rsid w:val="008B77FC"/>
    <w:rsid w:val="008D26A1"/>
    <w:rsid w:val="008D48DF"/>
    <w:rsid w:val="008D4CDC"/>
    <w:rsid w:val="008D6424"/>
    <w:rsid w:val="00902CC7"/>
    <w:rsid w:val="00942D55"/>
    <w:rsid w:val="0097464B"/>
    <w:rsid w:val="00A2722C"/>
    <w:rsid w:val="00A272F6"/>
    <w:rsid w:val="00A769BF"/>
    <w:rsid w:val="00A84815"/>
    <w:rsid w:val="00A85D0D"/>
    <w:rsid w:val="00AA7AE4"/>
    <w:rsid w:val="00AC19C0"/>
    <w:rsid w:val="00AC2E04"/>
    <w:rsid w:val="00AE1385"/>
    <w:rsid w:val="00B0428E"/>
    <w:rsid w:val="00B07475"/>
    <w:rsid w:val="00B10515"/>
    <w:rsid w:val="00B26F8B"/>
    <w:rsid w:val="00B56D82"/>
    <w:rsid w:val="00B659B1"/>
    <w:rsid w:val="00C32C2D"/>
    <w:rsid w:val="00C433AA"/>
    <w:rsid w:val="00C56148"/>
    <w:rsid w:val="00CD6D51"/>
    <w:rsid w:val="00D46E5F"/>
    <w:rsid w:val="00D916E8"/>
    <w:rsid w:val="00D9435D"/>
    <w:rsid w:val="00DD0D2B"/>
    <w:rsid w:val="00DD26E6"/>
    <w:rsid w:val="00DD3EC6"/>
    <w:rsid w:val="00E06E7A"/>
    <w:rsid w:val="00E3714F"/>
    <w:rsid w:val="00E611C3"/>
    <w:rsid w:val="00E76452"/>
    <w:rsid w:val="00ED1537"/>
    <w:rsid w:val="00F22F62"/>
    <w:rsid w:val="00F3324A"/>
    <w:rsid w:val="00F92A94"/>
    <w:rsid w:val="00FB4FFE"/>
    <w:rsid w:val="00FE1D7C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49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5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3923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0D0D0"/>
                  </w:divBdr>
                  <w:divsChild>
                    <w:div w:id="2700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024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3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is.de/MATH-item?0055.40201" TargetMode="External"/><Relationship Id="rId13" Type="http://schemas.openxmlformats.org/officeDocument/2006/relationships/hyperlink" Target="http://www.emis.de/MATH-item?0175.48504" TargetMode="External"/><Relationship Id="rId18" Type="http://schemas.openxmlformats.org/officeDocument/2006/relationships/hyperlink" Target="http://www.emis.de/MATH-item?0059.1580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dx.doi.org/10.1007/978-3-642-98950-6" TargetMode="External"/><Relationship Id="rId12" Type="http://schemas.openxmlformats.org/officeDocument/2006/relationships/hyperlink" Target="http://www.emis.de/MATH-item?0119.37502" TargetMode="External"/><Relationship Id="rId17" Type="http://schemas.openxmlformats.org/officeDocument/2006/relationships/hyperlink" Target="http://dx.doi.org/10.2307/237239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s.org/mathscinet-getitem?mr=5905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ozheynatalya@mail.ru" TargetMode="External"/><Relationship Id="rId11" Type="http://schemas.openxmlformats.org/officeDocument/2006/relationships/hyperlink" Target="http://www.emis.de/MATH-item?0561.57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is.de/MATH-item?0040.15204" TargetMode="External"/><Relationship Id="rId10" Type="http://schemas.openxmlformats.org/officeDocument/2006/relationships/hyperlink" Target="http://www.emis.de/MATH-item?0496.57005" TargetMode="External"/><Relationship Id="rId19" Type="http://schemas.openxmlformats.org/officeDocument/2006/relationships/hyperlink" Target="http://www.emis.de/MATH-item?0339.62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90/S0273-0979-1982-15003-0" TargetMode="External"/><Relationship Id="rId14" Type="http://schemas.openxmlformats.org/officeDocument/2006/relationships/hyperlink" Target="http://dx.doi.org/10.2307/1969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elib</dc:creator>
  <cp:lastModifiedBy>Кремезная С.А.</cp:lastModifiedBy>
  <cp:revision>2</cp:revision>
  <dcterms:created xsi:type="dcterms:W3CDTF">2017-10-18T09:15:00Z</dcterms:created>
  <dcterms:modified xsi:type="dcterms:W3CDTF">2017-10-18T09:15:00Z</dcterms:modified>
</cp:coreProperties>
</file>